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69" w:rsidRDefault="007F7E53">
      <w:pPr>
        <w:jc w:val="both"/>
      </w:pPr>
      <w:r>
        <w:rPr>
          <w:rFonts w:ascii="Calibri" w:eastAsia="Calibri" w:hAnsi="Calibri" w:cs="Calibri"/>
          <w:b/>
          <w:sz w:val="28"/>
          <w:szCs w:val="28"/>
        </w:rPr>
        <w:t>Prova scritta di matematica, indicazioni e criteri</w:t>
      </w:r>
    </w:p>
    <w:p w:rsidR="00DB4E69" w:rsidRDefault="00DB4E69">
      <w:pPr>
        <w:spacing w:line="312" w:lineRule="auto"/>
        <w:jc w:val="both"/>
        <w:rPr>
          <w:rFonts w:ascii="Calibri" w:eastAsia="Calibri" w:hAnsi="Calibri" w:cs="Calibri"/>
        </w:rPr>
      </w:pPr>
    </w:p>
    <w:p w:rsidR="00DB4E69" w:rsidRDefault="007F7E53">
      <w:pPr>
        <w:spacing w:line="288" w:lineRule="auto"/>
        <w:jc w:val="both"/>
      </w:pPr>
      <w:r>
        <w:rPr>
          <w:rFonts w:ascii="Calibri" w:eastAsia="Calibri" w:hAnsi="Calibri" w:cs="Calibri"/>
        </w:rPr>
        <w:t>Come indicato nella Circolare Ministeriale del 10 ottobre 2017 (</w:t>
      </w:r>
      <w:proofErr w:type="spellStart"/>
      <w:r>
        <w:rPr>
          <w:rFonts w:ascii="Calibri" w:eastAsia="Calibri" w:hAnsi="Calibri" w:cs="Calibri"/>
        </w:rPr>
        <w:t>prot</w:t>
      </w:r>
      <w:proofErr w:type="spellEnd"/>
      <w:r>
        <w:rPr>
          <w:rFonts w:ascii="Calibri" w:eastAsia="Calibri" w:hAnsi="Calibri" w:cs="Calibri"/>
        </w:rPr>
        <w:t xml:space="preserve">. n. 1865), il decreto legislativo n. 62 del 13 aprile 2017 ha apportato modifiche alle modalità di valutazione degli </w:t>
      </w:r>
      <w:r>
        <w:rPr>
          <w:rFonts w:ascii="Calibri" w:eastAsia="Calibri" w:hAnsi="Calibri" w:cs="Calibri"/>
        </w:rPr>
        <w:t>apprendimenti per le alunne e gli alunni di scuola secondaria di primo grado. Con il decreto ministeriale 3 ottobre 2017, n. 741, sono stati disciplinati in modo organico l’esame di Stato del primo ciclo e le operazioni ad esso connesse.</w:t>
      </w:r>
    </w:p>
    <w:p w:rsidR="00DB4E69" w:rsidRDefault="00DB4E69">
      <w:pPr>
        <w:spacing w:line="288" w:lineRule="auto"/>
        <w:jc w:val="both"/>
        <w:rPr>
          <w:rFonts w:ascii="Calibri" w:eastAsia="Calibri" w:hAnsi="Calibri" w:cs="Calibri"/>
        </w:rPr>
      </w:pPr>
    </w:p>
    <w:p w:rsidR="00DB4E69" w:rsidRDefault="007F7E53">
      <w:pPr>
        <w:spacing w:line="288" w:lineRule="auto"/>
        <w:jc w:val="both"/>
      </w:pPr>
      <w:r>
        <w:rPr>
          <w:rFonts w:ascii="Calibri" w:eastAsia="Calibri" w:hAnsi="Calibri" w:cs="Calibri"/>
        </w:rPr>
        <w:t>Per quanto riguar</w:t>
      </w:r>
      <w:r>
        <w:rPr>
          <w:rFonts w:ascii="Calibri" w:eastAsia="Calibri" w:hAnsi="Calibri" w:cs="Calibri"/>
        </w:rPr>
        <w:t>da la prova di matematica, il suddetto  decreto ministeriale 3 ottobre 2017, n. 741, all’articolo 8 recita come segue</w:t>
      </w:r>
    </w:p>
    <w:p w:rsidR="00DB4E69" w:rsidRDefault="00DB4E69">
      <w:pPr>
        <w:spacing w:line="288" w:lineRule="auto"/>
        <w:jc w:val="both"/>
        <w:rPr>
          <w:rFonts w:ascii="Calibri" w:eastAsia="Calibri" w:hAnsi="Calibri" w:cs="Calibri"/>
        </w:rPr>
      </w:pPr>
    </w:p>
    <w:p w:rsidR="00DB4E69" w:rsidRDefault="007F7E53">
      <w:pPr>
        <w:spacing w:line="288" w:lineRule="auto"/>
        <w:jc w:val="both"/>
      </w:pPr>
      <w:r>
        <w:rPr>
          <w:rFonts w:ascii="Calibri" w:eastAsia="Calibri" w:hAnsi="Calibri" w:cs="Calibri"/>
        </w:rPr>
        <w:t>1. La prova scritta relativa alle competenza logico matematiche accerta la capacità di rielaborazione e di organizzazione delle conoscenz</w:t>
      </w:r>
      <w:r>
        <w:rPr>
          <w:rFonts w:ascii="Calibri" w:eastAsia="Calibri" w:hAnsi="Calibri" w:cs="Calibri"/>
        </w:rPr>
        <w:t>e, delle abilità e delle competenze acquisite dalle alunne e dagli alunni nelle seguenti aree: numeri, spazio e figure, relazioni e funzioni, dati e previsioni.</w:t>
      </w:r>
    </w:p>
    <w:p w:rsidR="00DB4E69" w:rsidRDefault="007F7E53">
      <w:pPr>
        <w:spacing w:line="288" w:lineRule="auto"/>
        <w:jc w:val="both"/>
      </w:pPr>
      <w:r>
        <w:rPr>
          <w:rFonts w:ascii="Calibri" w:eastAsia="Calibri" w:hAnsi="Calibri" w:cs="Calibri"/>
        </w:rPr>
        <w:t>2. La commissione predispone almeno tre tracce, ciascuna riferita alle due seguenti tipologie:</w:t>
      </w:r>
    </w:p>
    <w:p w:rsidR="00DB4E69" w:rsidRDefault="007F7E53">
      <w:pPr>
        <w:spacing w:line="288" w:lineRule="auto"/>
        <w:jc w:val="both"/>
      </w:pPr>
      <w:r>
        <w:rPr>
          <w:rFonts w:ascii="Calibri" w:eastAsia="Calibri" w:hAnsi="Calibri" w:cs="Calibri"/>
        </w:rPr>
        <w:tab/>
        <w:t>a) problemi articolati su una o più richieste;</w:t>
      </w:r>
    </w:p>
    <w:p w:rsidR="00DB4E69" w:rsidRDefault="007F7E53">
      <w:pPr>
        <w:spacing w:line="288" w:lineRule="auto"/>
        <w:jc w:val="both"/>
      </w:pPr>
      <w:r>
        <w:rPr>
          <w:rFonts w:ascii="Calibri" w:eastAsia="Calibri" w:hAnsi="Calibri" w:cs="Calibri"/>
        </w:rPr>
        <w:tab/>
        <w:t>b) quesiti a risposta aperta.</w:t>
      </w:r>
    </w:p>
    <w:p w:rsidR="00DB4E69" w:rsidRDefault="00DB4E69">
      <w:pPr>
        <w:spacing w:line="288" w:lineRule="auto"/>
        <w:jc w:val="both"/>
        <w:rPr>
          <w:rFonts w:ascii="Calibri" w:eastAsia="Calibri" w:hAnsi="Calibri" w:cs="Calibri"/>
        </w:rPr>
      </w:pPr>
    </w:p>
    <w:p w:rsidR="00DB4E69" w:rsidRDefault="007F7E53">
      <w:pPr>
        <w:spacing w:line="288" w:lineRule="auto"/>
        <w:jc w:val="both"/>
      </w:pPr>
      <w:r>
        <w:rPr>
          <w:rFonts w:ascii="Calibri" w:eastAsia="Calibri" w:hAnsi="Calibri" w:cs="Calibri"/>
        </w:rPr>
        <w:t>3. Nella predisposizione delle tracce la commissione può fare riferimento anche ai metodi di analisi, organizzazione e rappresentazione dei dati, caratteristici del pensiero co</w:t>
      </w:r>
      <w:r>
        <w:rPr>
          <w:rFonts w:ascii="Calibri" w:eastAsia="Calibri" w:hAnsi="Calibri" w:cs="Calibri"/>
        </w:rPr>
        <w:t>mputazionale.</w:t>
      </w:r>
    </w:p>
    <w:p w:rsidR="00DB4E69" w:rsidRDefault="007F7E53">
      <w:pPr>
        <w:spacing w:line="288" w:lineRule="auto"/>
        <w:jc w:val="both"/>
      </w:pPr>
      <w:r>
        <w:rPr>
          <w:rFonts w:ascii="Calibri" w:eastAsia="Calibri" w:hAnsi="Calibri" w:cs="Calibri"/>
        </w:rPr>
        <w:t>4. Qualora vengano proposti più problemi o quesiti, le relative soluzioni non devono essere dipendenti l’una dall’altra, per evitare che la loro progressione pregiudichi l’esecuzione della prova stessa.</w:t>
      </w:r>
    </w:p>
    <w:p w:rsidR="00DB4E69" w:rsidRDefault="00DB4E69">
      <w:pPr>
        <w:spacing w:line="288" w:lineRule="auto"/>
        <w:jc w:val="both"/>
        <w:rPr>
          <w:rFonts w:ascii="Calibri" w:eastAsia="Calibri" w:hAnsi="Calibri" w:cs="Calibri"/>
        </w:rPr>
      </w:pPr>
    </w:p>
    <w:p w:rsidR="00DB4E69" w:rsidRDefault="007F7E53">
      <w:pPr>
        <w:spacing w:line="312" w:lineRule="auto"/>
        <w:jc w:val="both"/>
      </w:pPr>
      <w:r>
        <w:rPr>
          <w:rFonts w:ascii="Calibri" w:eastAsia="Calibri" w:hAnsi="Calibri" w:cs="Calibri"/>
        </w:rPr>
        <w:t>Per decisione dei docenti di Matematic</w:t>
      </w:r>
      <w:r>
        <w:rPr>
          <w:rFonts w:ascii="Calibri" w:eastAsia="Calibri" w:hAnsi="Calibri" w:cs="Calibri"/>
        </w:rPr>
        <w:t xml:space="preserve">a e Scienze, la prova scritta di matematica sarà strutturata in modo tale da risultare graduata e verrà valutata in base ai seguenti </w:t>
      </w:r>
      <w:r>
        <w:rPr>
          <w:rFonts w:ascii="Calibri" w:eastAsia="Calibri" w:hAnsi="Calibri" w:cs="Calibri"/>
          <w:b/>
        </w:rPr>
        <w:t>indicatori</w:t>
      </w:r>
      <w:r>
        <w:rPr>
          <w:rFonts w:ascii="Calibri" w:eastAsia="Calibri" w:hAnsi="Calibri" w:cs="Calibri"/>
        </w:rPr>
        <w:t xml:space="preserve"> concordati:</w:t>
      </w:r>
    </w:p>
    <w:p w:rsidR="00DB4E69" w:rsidRDefault="007F7E53">
      <w:pPr>
        <w:widowControl/>
        <w:numPr>
          <w:ilvl w:val="0"/>
          <w:numId w:val="1"/>
        </w:numPr>
        <w:tabs>
          <w:tab w:val="left" w:pos="1568"/>
        </w:tabs>
        <w:spacing w:after="120" w:line="276" w:lineRule="auto"/>
        <w:ind w:left="784"/>
      </w:pPr>
      <w:r>
        <w:rPr>
          <w:rFonts w:ascii="Calibri" w:eastAsia="Calibri" w:hAnsi="Calibri" w:cs="Calibri"/>
          <w:color w:val="000000"/>
        </w:rPr>
        <w:t>Conoscenza degli elementi specifici e dei principi fondamentali della disciplina (</w:t>
      </w:r>
      <w:r>
        <w:rPr>
          <w:rFonts w:ascii="Calibri" w:eastAsia="Calibri" w:hAnsi="Calibri" w:cs="Calibri"/>
          <w:b/>
          <w:bCs/>
          <w:color w:val="000000"/>
          <w:highlight w:val="yellow"/>
        </w:rPr>
        <w:t>50%</w:t>
      </w:r>
      <w:r>
        <w:rPr>
          <w:rFonts w:ascii="Calibri" w:eastAsia="Calibri" w:hAnsi="Calibri" w:cs="Calibri"/>
          <w:color w:val="000000"/>
        </w:rPr>
        <w:t>).</w:t>
      </w:r>
    </w:p>
    <w:p w:rsidR="00DB4E69" w:rsidRDefault="007F7E53">
      <w:pPr>
        <w:widowControl/>
        <w:numPr>
          <w:ilvl w:val="0"/>
          <w:numId w:val="1"/>
        </w:numPr>
        <w:tabs>
          <w:tab w:val="left" w:pos="1414"/>
          <w:tab w:val="left" w:pos="1491"/>
        </w:tabs>
        <w:spacing w:after="120" w:line="276" w:lineRule="auto"/>
        <w:ind w:left="707"/>
      </w:pPr>
      <w:r>
        <w:rPr>
          <w:rFonts w:ascii="Calibri" w:eastAsia="Calibri" w:hAnsi="Calibri" w:cs="Calibri"/>
          <w:color w:val="000000"/>
        </w:rPr>
        <w:t>Abilità nell</w:t>
      </w:r>
      <w:r>
        <w:rPr>
          <w:rFonts w:ascii="Calibri" w:eastAsia="Calibri" w:hAnsi="Calibri" w:cs="Calibri"/>
          <w:color w:val="000000"/>
        </w:rPr>
        <w:t>’applicazione di regole, procedure, rappresentazioni e nella soluzione di problemi (</w:t>
      </w:r>
      <w:r>
        <w:rPr>
          <w:rFonts w:ascii="Calibri" w:eastAsia="Calibri" w:hAnsi="Calibri" w:cs="Calibri"/>
          <w:b/>
          <w:bCs/>
          <w:color w:val="000000"/>
          <w:highlight w:val="yellow"/>
        </w:rPr>
        <w:t>50%</w:t>
      </w:r>
      <w:r>
        <w:rPr>
          <w:rFonts w:ascii="Calibri" w:eastAsia="Calibri" w:hAnsi="Calibri" w:cs="Calibri"/>
          <w:color w:val="000000"/>
        </w:rPr>
        <w:t>).</w:t>
      </w:r>
    </w:p>
    <w:p w:rsidR="00DB4E69" w:rsidRDefault="00DB4E69">
      <w:pPr>
        <w:widowControl/>
        <w:tabs>
          <w:tab w:val="left" w:pos="1414"/>
        </w:tabs>
        <w:spacing w:after="120" w:line="276" w:lineRule="auto"/>
        <w:ind w:left="707"/>
        <w:jc w:val="center"/>
        <w:rPr>
          <w:rFonts w:ascii="Calibri" w:eastAsia="Calibri" w:hAnsi="Calibri" w:cs="Calibri"/>
          <w:b/>
          <w:color w:val="000000"/>
        </w:rPr>
      </w:pPr>
    </w:p>
    <w:p w:rsidR="00DB4E69" w:rsidRDefault="00DB4E69">
      <w:pPr>
        <w:widowControl/>
        <w:tabs>
          <w:tab w:val="left" w:pos="1414"/>
        </w:tabs>
        <w:spacing w:after="120" w:line="276" w:lineRule="auto"/>
        <w:ind w:left="707"/>
        <w:jc w:val="center"/>
        <w:rPr>
          <w:rFonts w:ascii="Calibri" w:eastAsia="Calibri" w:hAnsi="Calibri" w:cs="Calibri"/>
          <w:b/>
          <w:color w:val="000000"/>
        </w:rPr>
      </w:pPr>
    </w:p>
    <w:p w:rsidR="00DB4E69" w:rsidRDefault="007F7E53">
      <w:pPr>
        <w:widowControl/>
        <w:tabs>
          <w:tab w:val="left" w:pos="1414"/>
        </w:tabs>
        <w:spacing w:after="120" w:line="276" w:lineRule="auto"/>
        <w:ind w:left="707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Declinazione indicatori</w:t>
      </w:r>
    </w:p>
    <w:p w:rsidR="00DB4E69" w:rsidRDefault="007F7E53">
      <w:pPr>
        <w:widowControl/>
        <w:tabs>
          <w:tab w:val="left" w:pos="707"/>
        </w:tabs>
        <w:spacing w:after="120" w:line="276" w:lineRule="auto"/>
      </w:pPr>
      <w:r>
        <w:rPr>
          <w:rFonts w:ascii="Calibri" w:eastAsia="Calibri" w:hAnsi="Calibri" w:cs="Calibri"/>
          <w:b/>
          <w:color w:val="000000"/>
        </w:rPr>
        <w:t>1)Conoscenza degli elementi specifici della disciplina (</w:t>
      </w:r>
      <w:r>
        <w:rPr>
          <w:rFonts w:ascii="Calibri" w:eastAsia="Calibri" w:hAnsi="Calibri" w:cs="Calibri"/>
          <w:b/>
          <w:color w:val="000000"/>
          <w:highlight w:val="yellow"/>
        </w:rPr>
        <w:t>50%</w:t>
      </w:r>
      <w:r>
        <w:rPr>
          <w:rFonts w:ascii="Calibri" w:eastAsia="Calibri" w:hAnsi="Calibri" w:cs="Calibri"/>
          <w:b/>
          <w:color w:val="000000"/>
        </w:rPr>
        <w:t>)</w:t>
      </w:r>
    </w:p>
    <w:tbl>
      <w:tblPr>
        <w:tblStyle w:val="TableNormal"/>
        <w:tblW w:w="91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560"/>
        <w:gridCol w:w="1878"/>
        <w:gridCol w:w="1291"/>
        <w:gridCol w:w="4442"/>
      </w:tblGrid>
      <w:tr w:rsidR="00DB4E69">
        <w:trPr>
          <w:trHeight w:val="72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Percentuale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Valutazione espressa  in centesimi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Valutazione equivalente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espressa in decimi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Descrittore</w:t>
            </w:r>
          </w:p>
        </w:tc>
      </w:tr>
      <w:tr w:rsidR="00DB4E69">
        <w:trPr>
          <w:trHeight w:val="420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&lt;45% 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0 a 44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Conoscenza molto limitata delle tematiche trattate</w:t>
            </w:r>
          </w:p>
        </w:tc>
      </w:tr>
      <w:tr w:rsidR="00DB4E69">
        <w:trPr>
          <w:trHeight w:val="500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Da 46%  a 55%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46  a 55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Conoscenza lacunosa degli argomenti trattati</w:t>
            </w:r>
          </w:p>
        </w:tc>
      </w:tr>
      <w:tr w:rsidR="00DB4E69">
        <w:trPr>
          <w:trHeight w:val="420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56%  a  65%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56  a 65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Conoscenza dei contenuti essenziali</w:t>
            </w:r>
          </w:p>
        </w:tc>
      </w:tr>
      <w:tr w:rsidR="00DB4E69">
        <w:trPr>
          <w:trHeight w:val="500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66 % a 75%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4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 66 a 75</w:t>
            </w:r>
          </w:p>
          <w:p w:rsidR="00DB4E69" w:rsidRDefault="00DB4E69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Buona conoscenza delle tematiche trattate </w:t>
            </w:r>
          </w:p>
        </w:tc>
      </w:tr>
      <w:tr w:rsidR="00DB4E69">
        <w:trPr>
          <w:trHeight w:val="460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76% a 85%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 76  a  85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Conosce gli argomenti in modo abbastanza approfondito</w:t>
            </w:r>
          </w:p>
        </w:tc>
      </w:tr>
      <w:tr w:rsidR="00DB4E69">
        <w:trPr>
          <w:trHeight w:val="420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86% a 95%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86  a 95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Conosce e comprende in modo analitico dimostrando una piena assimilazione dei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contenuti</w:t>
            </w:r>
          </w:p>
        </w:tc>
      </w:tr>
      <w:tr w:rsidR="00DB4E69">
        <w:trPr>
          <w:trHeight w:val="580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&gt;95%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96 a 100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Conosce e comprende in modo analitico i contenuti disciplinari anche se complessi e approfonditi</w:t>
            </w:r>
          </w:p>
        </w:tc>
      </w:tr>
    </w:tbl>
    <w:p w:rsidR="00DB4E69" w:rsidRDefault="00DB4E69">
      <w:pPr>
        <w:spacing w:line="360" w:lineRule="auto"/>
        <w:jc w:val="both"/>
      </w:pPr>
    </w:p>
    <w:p w:rsidR="00DB4E69" w:rsidRDefault="007F7E53">
      <w:r>
        <w:rPr>
          <w:rFonts w:ascii="Calibri" w:eastAsia="Calibri" w:hAnsi="Calibri" w:cs="Calibri"/>
          <w:sz w:val="22"/>
          <w:szCs w:val="22"/>
        </w:rPr>
        <w:t xml:space="preserve">2- </w:t>
      </w:r>
      <w:r>
        <w:rPr>
          <w:rFonts w:ascii="Calibri" w:eastAsia="Calibri" w:hAnsi="Calibri" w:cs="Calibri"/>
          <w:b/>
          <w:sz w:val="22"/>
          <w:szCs w:val="22"/>
        </w:rPr>
        <w:t>Possesso delle abilità relative alla applicazione di relazioni,proprietà e procedimenti e alla risoluzione di problemi. (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5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0%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DB4E69" w:rsidRDefault="00DB4E69">
      <w:pPr>
        <w:widowControl/>
        <w:tabs>
          <w:tab w:val="left" w:pos="1493"/>
        </w:tabs>
        <w:spacing w:after="120" w:line="276" w:lineRule="auto"/>
        <w:ind w:left="786"/>
        <w:rPr>
          <w:rFonts w:ascii="Calibri" w:eastAsia="Calibri" w:hAnsi="Calibri" w:cs="Calibri"/>
          <w:b/>
          <w:color w:val="000000"/>
        </w:rPr>
      </w:pPr>
    </w:p>
    <w:tbl>
      <w:tblPr>
        <w:tblStyle w:val="TableNormal"/>
        <w:tblW w:w="95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670"/>
        <w:gridCol w:w="1291"/>
        <w:gridCol w:w="1652"/>
        <w:gridCol w:w="4930"/>
      </w:tblGrid>
      <w:tr w:rsidR="00DB4E69">
        <w:trPr>
          <w:trHeight w:val="7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Percentuale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Valutazione espressa in centesimi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Valutazione equivalente espressa in decimi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Descrittore</w:t>
            </w:r>
          </w:p>
        </w:tc>
      </w:tr>
      <w:tr w:rsidR="00DB4E69">
        <w:trPr>
          <w:trHeight w:val="420"/>
          <w:jc w:val="center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&lt;45% 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0 a 44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Commette gravi errori di interpretazione/ procedura; non possiede le abilità richieste. Molto disordine grafico. Nei problemi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commette numerosi errori anche gravi, dimostrando di non possedere procedure risolutive.</w:t>
            </w:r>
          </w:p>
        </w:tc>
      </w:tr>
      <w:tr w:rsidR="00DB4E69">
        <w:trPr>
          <w:trHeight w:val="500"/>
          <w:jc w:val="center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46%  a 55%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46  a 55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Commette errori di interpretazione/ procedura; non possiede le abilità richieste. Poco ordinato nell’impostazione grafica dei lavori. Nei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problemi commette errori di procedura o non ne trova una valida,anche su argomenti essenziali</w:t>
            </w:r>
          </w:p>
        </w:tc>
      </w:tr>
      <w:tr w:rsidR="00DB4E69">
        <w:trPr>
          <w:trHeight w:val="420"/>
          <w:jc w:val="center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56%  a  65%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56  a 65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 sviluppato alcune abilità ma non è in grado di utilizzarle in modo autonomo. Sufficienti procedure di applicazione anche 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permangono alcune carenze. Non sempre ordinato nell’esecuzione grafica dei lavori. Risolve i problemi semplici con procedure valide,emergono alcune incertezze nell’analisi e nello sviluppo dei procedimenti; i passaggi più difficili non vengono superati</w:t>
            </w:r>
          </w:p>
        </w:tc>
      </w:tr>
      <w:tr w:rsidR="00DB4E69">
        <w:trPr>
          <w:trHeight w:val="500"/>
          <w:jc w:val="center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66 % a 75%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4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 66 a 75</w:t>
            </w:r>
          </w:p>
          <w:p w:rsidR="00DB4E69" w:rsidRDefault="00DB4E69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Capacità di applicare ed organizzare in modo coerente i contenuti proposti; si sa orientare nell’esecuzione di compiti semplici,ma presenta qualche difficoltà con quelli complessi. Abbastanza ordinato nell’impostazione grafica 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lavoro. Risolve correttamente i problemi con procedure valide,anche se a volte si notano travisamenti ed incompletezze.</w:t>
            </w:r>
          </w:p>
        </w:tc>
      </w:tr>
      <w:tr w:rsidR="00DB4E69">
        <w:trPr>
          <w:trHeight w:val="460"/>
          <w:jc w:val="center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76% a 85%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 76  a  85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Buona capacità di organizzazione, rielaborazione e applicazione dei contenuti; si sa orientare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nell’esecuzione del compito. Ordinato nell’impostazione grafica del lavoro. Risolve correttamente i problemi con procedure valide,anche se a volte si notano incompletezze 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imprecisioni.</w:t>
            </w:r>
          </w:p>
        </w:tc>
      </w:tr>
      <w:tr w:rsidR="00DB4E69">
        <w:trPr>
          <w:trHeight w:val="420"/>
          <w:jc w:val="center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Da 86% a 95%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86  a 95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Produzione accurata e padronanza di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linguaggio specifico;ottima capacità di rielaborazione, applicazione, autonomia. Ordinato e preciso nei lavori grafici. Risolve correttamente i problemi con procedure logiche e chiare;errori ed imprecisioni riguardano solo aspetti marginali e di calcolo.</w:t>
            </w:r>
          </w:p>
        </w:tc>
      </w:tr>
      <w:tr w:rsidR="00DB4E69">
        <w:trPr>
          <w:trHeight w:val="580"/>
          <w:jc w:val="center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&gt;95%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707"/>
              </w:tabs>
              <w:spacing w:after="120" w:line="288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 96 a 100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69" w:rsidRDefault="007F7E53">
            <w:pPr>
              <w:widowControl/>
              <w:tabs>
                <w:tab w:val="left" w:pos="1067"/>
              </w:tabs>
              <w:spacing w:after="120" w:line="288" w:lineRule="auto"/>
              <w:ind w:left="36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69" w:rsidRDefault="007F7E53">
            <w:pPr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Produzione molto accurata e piena di padronanza del linguaggio scientifico con spunti di creatività ed originalità; ottima capacità di rielaborazione, applicazione, autonomia. Molto ordinato nei lavori grafici Risolve correttamente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problemi con procedure logiche e chiare,senza alcun errore;individua soluzioni e sviluppa procedimenti in maniera autonoma</w:t>
            </w:r>
          </w:p>
        </w:tc>
      </w:tr>
    </w:tbl>
    <w:p w:rsidR="00DB4E69" w:rsidRDefault="00DB4E69">
      <w:pPr>
        <w:spacing w:line="360" w:lineRule="auto"/>
        <w:jc w:val="both"/>
      </w:pPr>
    </w:p>
    <w:p w:rsidR="00DB4E69" w:rsidRDefault="00DB4E69">
      <w:pPr>
        <w:spacing w:line="360" w:lineRule="auto"/>
        <w:jc w:val="both"/>
        <w:rPr>
          <w:rFonts w:ascii="Calibri" w:eastAsia="Calibri" w:hAnsi="Calibri" w:cs="Calibri"/>
          <w:highlight w:val="yellow"/>
        </w:rPr>
      </w:pPr>
    </w:p>
    <w:p w:rsidR="00DB4E69" w:rsidRDefault="00DB4E69">
      <w:pPr>
        <w:spacing w:line="360" w:lineRule="auto"/>
        <w:jc w:val="both"/>
        <w:rPr>
          <w:rFonts w:ascii="Calibri" w:eastAsia="Calibri" w:hAnsi="Calibri" w:cs="Calibri"/>
          <w:highlight w:val="yellow"/>
        </w:rPr>
      </w:pPr>
    </w:p>
    <w:p w:rsidR="00DB4E69" w:rsidRDefault="00DB4E69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DB4E69" w:rsidRDefault="00DB4E69">
      <w:pPr>
        <w:spacing w:line="360" w:lineRule="auto"/>
        <w:jc w:val="center"/>
      </w:pPr>
    </w:p>
    <w:sectPr w:rsidR="00DB4E69" w:rsidSect="00DB4E69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E7C"/>
    <w:multiLevelType w:val="multilevel"/>
    <w:tmpl w:val="0F30E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5C3FD3"/>
    <w:multiLevelType w:val="multilevel"/>
    <w:tmpl w:val="685030CA"/>
    <w:lvl w:ilvl="0">
      <w:start w:val="1"/>
      <w:numFmt w:val="decimal"/>
      <w:lvlText w:val="%1."/>
      <w:lvlJc w:val="left"/>
      <w:pPr>
        <w:ind w:left="786" w:hanging="360"/>
      </w:pPr>
      <w:rPr>
        <w:rFonts w:eastAsia="Noto Sans Symbols" w:cs="Noto Sans Symbols"/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B4E69"/>
    <w:rsid w:val="007F7E53"/>
    <w:rsid w:val="00DB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E69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e"/>
    <w:qFormat/>
    <w:rsid w:val="00DB4E69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Normale"/>
    <w:qFormat/>
    <w:rsid w:val="00DB4E69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Normale"/>
    <w:qFormat/>
    <w:rsid w:val="00DB4E69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Normale"/>
    <w:qFormat/>
    <w:rsid w:val="00DB4E69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LO-normal"/>
    <w:next w:val="Normale"/>
    <w:qFormat/>
    <w:rsid w:val="00DB4E69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Normale"/>
    <w:qFormat/>
    <w:rsid w:val="00DB4E69"/>
    <w:pPr>
      <w:keepNext/>
      <w:keepLines/>
      <w:spacing w:before="200" w:after="40"/>
    </w:pPr>
    <w:rPr>
      <w:b/>
      <w:sz w:val="20"/>
      <w:szCs w:val="20"/>
    </w:rPr>
  </w:style>
  <w:style w:type="character" w:customStyle="1" w:styleId="ListLabel1">
    <w:name w:val="ListLabel 1"/>
    <w:qFormat/>
    <w:rsid w:val="00DB4E69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2">
    <w:name w:val="ListLabel 2"/>
    <w:qFormat/>
    <w:rsid w:val="00DB4E69"/>
    <w:rPr>
      <w:position w:val="0"/>
      <w:sz w:val="24"/>
      <w:vertAlign w:val="baseline"/>
    </w:rPr>
  </w:style>
  <w:style w:type="character" w:customStyle="1" w:styleId="ListLabel3">
    <w:name w:val="ListLabel 3"/>
    <w:qFormat/>
    <w:rsid w:val="00DB4E69"/>
    <w:rPr>
      <w:position w:val="0"/>
      <w:sz w:val="24"/>
      <w:vertAlign w:val="baseline"/>
    </w:rPr>
  </w:style>
  <w:style w:type="character" w:customStyle="1" w:styleId="ListLabel4">
    <w:name w:val="ListLabel 4"/>
    <w:qFormat/>
    <w:rsid w:val="00DB4E69"/>
    <w:rPr>
      <w:position w:val="0"/>
      <w:sz w:val="24"/>
      <w:vertAlign w:val="baseline"/>
    </w:rPr>
  </w:style>
  <w:style w:type="character" w:customStyle="1" w:styleId="ListLabel5">
    <w:name w:val="ListLabel 5"/>
    <w:qFormat/>
    <w:rsid w:val="00DB4E69"/>
    <w:rPr>
      <w:position w:val="0"/>
      <w:sz w:val="24"/>
      <w:vertAlign w:val="baseline"/>
    </w:rPr>
  </w:style>
  <w:style w:type="character" w:customStyle="1" w:styleId="ListLabel6">
    <w:name w:val="ListLabel 6"/>
    <w:qFormat/>
    <w:rsid w:val="00DB4E69"/>
    <w:rPr>
      <w:position w:val="0"/>
      <w:sz w:val="24"/>
      <w:vertAlign w:val="baseline"/>
    </w:rPr>
  </w:style>
  <w:style w:type="character" w:customStyle="1" w:styleId="ListLabel7">
    <w:name w:val="ListLabel 7"/>
    <w:qFormat/>
    <w:rsid w:val="00DB4E69"/>
    <w:rPr>
      <w:position w:val="0"/>
      <w:sz w:val="24"/>
      <w:vertAlign w:val="baseline"/>
    </w:rPr>
  </w:style>
  <w:style w:type="character" w:customStyle="1" w:styleId="ListLabel8">
    <w:name w:val="ListLabel 8"/>
    <w:qFormat/>
    <w:rsid w:val="00DB4E69"/>
    <w:rPr>
      <w:position w:val="0"/>
      <w:sz w:val="24"/>
      <w:vertAlign w:val="baseline"/>
    </w:rPr>
  </w:style>
  <w:style w:type="character" w:customStyle="1" w:styleId="ListLabel9">
    <w:name w:val="ListLabel 9"/>
    <w:qFormat/>
    <w:rsid w:val="00DB4E69"/>
    <w:rPr>
      <w:position w:val="0"/>
      <w:sz w:val="24"/>
      <w:vertAlign w:val="baseline"/>
    </w:rPr>
  </w:style>
  <w:style w:type="paragraph" w:styleId="Titolo">
    <w:name w:val="Title"/>
    <w:basedOn w:val="LO-normal"/>
    <w:next w:val="Corpodeltesto"/>
    <w:qFormat/>
    <w:rsid w:val="00DB4E69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DB4E69"/>
    <w:pPr>
      <w:spacing w:after="140" w:line="276" w:lineRule="auto"/>
    </w:pPr>
  </w:style>
  <w:style w:type="paragraph" w:styleId="Elenco">
    <w:name w:val="List"/>
    <w:basedOn w:val="Corpodeltesto"/>
    <w:rsid w:val="00DB4E69"/>
    <w:rPr>
      <w:rFonts w:cs="Lohit Devanagari"/>
    </w:rPr>
  </w:style>
  <w:style w:type="paragraph" w:customStyle="1" w:styleId="Caption">
    <w:name w:val="Caption"/>
    <w:basedOn w:val="Normale"/>
    <w:qFormat/>
    <w:rsid w:val="00DB4E69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DB4E69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DB4E69"/>
  </w:style>
  <w:style w:type="paragraph" w:styleId="Sottotitolo">
    <w:name w:val="Subtitle"/>
    <w:basedOn w:val="LO-normal"/>
    <w:next w:val="Normale"/>
    <w:qFormat/>
    <w:rsid w:val="00DB4E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DB4E6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2019-05-24T09:02:00Z</dcterms:created>
  <dcterms:modified xsi:type="dcterms:W3CDTF">2019-05-24T09:02:00Z</dcterms:modified>
  <dc:language>it-IT</dc:language>
</cp:coreProperties>
</file>