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Allegato 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Progettazione educativa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ella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classe ………. Sez. 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c>
          <w:tcPr>
            <w:shd w:fill="ffff00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Educazione civica</w:t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INSEGNAMENTO TRASVERSALE - CONTITOLARITA’</w:t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33 ORE/ANNO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VOTO IN DECIMI IN I E II QUADRIMESTRE</w:t>
            </w:r>
          </w:p>
        </w:tc>
      </w:tr>
    </w:tbl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SSIG e classi V della 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3195"/>
        <w:gridCol w:w="1020"/>
        <w:gridCol w:w="825"/>
        <w:gridCol w:w="1425"/>
        <w:gridCol w:w="2685"/>
        <w:tblGridChange w:id="0">
          <w:tblGrid>
            <w:gridCol w:w="495"/>
            <w:gridCol w:w="3195"/>
            <w:gridCol w:w="1020"/>
            <w:gridCol w:w="825"/>
            <w:gridCol w:w="1425"/>
            <w:gridCol w:w="2685"/>
          </w:tblGrid>
        </w:tblGridChange>
      </w:tblGrid>
      <w:t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Temi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Periodo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n. ore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Materie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Argomenti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Costituzione italiana, Istituzioni nazionali, dell’Unione europea e degli organismi internazionali;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" w:right="126" w:firstLine="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storia della bandiera e dell’inno nazionale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tabs>
                <w:tab w:val="left" w:pos="488"/>
              </w:tabs>
              <w:spacing w:line="273" w:lineRule="auto"/>
              <w:ind w:left="487" w:right="362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La storia dei colori della bandiera e della nascita dell’inno nazionale (classe I)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tabs>
                <w:tab w:val="left" w:pos="488"/>
              </w:tabs>
              <w:spacing w:line="273" w:lineRule="auto"/>
              <w:ind w:left="487" w:right="362" w:hanging="284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Lettura e analisi della prima parte della nostra Costituzione (classi I e II)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tabs>
                <w:tab w:val="left" w:pos="488"/>
              </w:tabs>
              <w:spacing w:line="273" w:lineRule="auto"/>
              <w:ind w:left="487" w:right="362" w:hanging="284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Cenni sull’ordinamento dello Stato italiano (Regioni e Enti territoriali) (classi I e II)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tabs>
                <w:tab w:val="left" w:pos="488"/>
              </w:tabs>
              <w:spacing w:line="273" w:lineRule="auto"/>
              <w:ind w:left="487" w:right="362" w:hanging="284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Organizzazioni internazionali (Onu, Ue….) (classi II e III)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tabs>
                <w:tab w:val="left" w:pos="488"/>
              </w:tabs>
              <w:spacing w:line="273" w:lineRule="auto"/>
              <w:ind w:left="487" w:right="362" w:hanging="284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Lettura e analisi della seconda parte della nostra Costituzione. L’ordinamento dello Stato italiano. (classi III)</w:t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pos="488"/>
              </w:tabs>
              <w:spacing w:line="273" w:lineRule="auto"/>
              <w:ind w:left="487" w:right="362" w:firstLine="0"/>
              <w:rPr>
                <w:rFonts w:ascii="Arial" w:cs="Arial" w:eastAsia="Arial" w:hAnsi="Arial"/>
                <w:color w:val="0099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Educazione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ambientale, sviluppo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eco-sostenibile e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tutela del patrimonio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ambientale,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culturale, delle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identità, delle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produzioni e delle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eccellenze territoriali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 agroalimentari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………..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tabs>
                <w:tab w:val="left" w:pos="344"/>
              </w:tabs>
              <w:spacing w:line="276" w:lineRule="auto"/>
              <w:ind w:left="343" w:right="373" w:hanging="14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Il rapporto uomo- natura-ambiente nell’ottica di una corretta educazione ambientale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1"/>
              </w:numPr>
              <w:tabs>
                <w:tab w:val="left" w:pos="344"/>
              </w:tabs>
              <w:spacing w:line="276" w:lineRule="auto"/>
              <w:ind w:left="343" w:right="198" w:hanging="14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Le cause e le conseguenze principali dei cambiamenti climatici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tabs>
                <w:tab w:val="left" w:pos="344"/>
              </w:tabs>
              <w:spacing w:line="276" w:lineRule="auto"/>
              <w:ind w:left="343" w:right="198" w:hanging="140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Analisi e valorizzazione del patrimonio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Educazione alla cittadinanza digitale secondo le disposizioni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dell’articolo 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line="271" w:lineRule="auto"/>
              <w:ind w:left="487" w:right="976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Le fonti delle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before="7" w:lineRule="auto"/>
              <w:ind w:left="487" w:hanging="285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Fake news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before="37" w:lineRule="auto"/>
              <w:ind w:left="487" w:hanging="285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I rischi della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before="38" w:line="276" w:lineRule="auto"/>
              <w:ind w:left="487" w:right="267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Salute e benessere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line="276" w:lineRule="auto"/>
              <w:ind w:left="487" w:right="692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Il fenomeno del cyberbullismo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line="273" w:lineRule="auto"/>
              <w:ind w:left="487" w:right="281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Regole della netiquette della navigazione on line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line="276" w:lineRule="auto"/>
              <w:ind w:left="487" w:right="266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Hatespeech e comunicazione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4"/>
              </w:numPr>
              <w:tabs>
                <w:tab w:val="left" w:pos="488"/>
              </w:tabs>
              <w:spacing w:line="276" w:lineRule="auto"/>
              <w:ind w:left="487" w:right="573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Social network e privacy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Educazione alla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legalità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2"/>
              </w:numPr>
              <w:tabs>
                <w:tab w:val="left" w:pos="488"/>
              </w:tabs>
              <w:spacing w:line="276" w:lineRule="auto"/>
              <w:ind w:left="487" w:right="387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L’importanza delle regole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tabs>
                <w:tab w:val="left" w:pos="488"/>
              </w:tabs>
              <w:spacing w:line="271" w:lineRule="auto"/>
              <w:ind w:left="487" w:right="334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Regolamento della scuola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tabs>
                <w:tab w:val="left" w:pos="488"/>
              </w:tabs>
              <w:spacing w:line="276" w:lineRule="auto"/>
              <w:ind w:left="487" w:right="309" w:hanging="284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9900"/>
                <w:sz w:val="16"/>
                <w:szCs w:val="16"/>
                <w:rtl w:val="0"/>
              </w:rPr>
              <w:t xml:space="preserve">Partecipazione alle giornate a tema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color w:val="2a2a2a"/>
          <w:sz w:val="20"/>
          <w:szCs w:val="20"/>
        </w:rPr>
      </w:pPr>
      <w:r w:rsidDel="00000000" w:rsidR="00000000" w:rsidRPr="00000000">
        <w:rPr>
          <w:color w:val="2a2a2a"/>
          <w:sz w:val="20"/>
          <w:szCs w:val="20"/>
          <w:rtl w:val="0"/>
        </w:rPr>
        <w:t xml:space="preserve">Le discipline coinvolte e il monte ore attribuito alle varie attività sarà stabilito durante il C.d.c.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1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807"/>
        <w:gridCol w:w="4811"/>
        <w:tblGridChange w:id="0">
          <w:tblGrid>
            <w:gridCol w:w="4807"/>
            <w:gridCol w:w="4811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PROCESSO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DETTAGLI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I docenti in indirizzo svolgono gli argomenti dei temi assegnati nelle rispettive classi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Nel registro elettronico si scriva :”Educazione civica: tema generale (vedi tabella); argomento;”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I docenti in indirizzo inseriscono nei rispettivi registri gli elementi di valutazione in decimi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La valutazione è formativa e non necessariamente basata su verifiche molto strutturate</w:t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Il coordinatore a fine quadrimestre chiede ai docenti coinvolti l’invio delle valutazioni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Il coordinatore propone il voto globale in consiglio di classe agli scrutini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Alla fine dell’anno tutti i docenti inviano al DS gli argomenti trattati, compilando la seguente tabella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Il DS sintetizza tutte le azioni svolte nelle diverse classi e ordini dell’Istituto e formalizza un percorso curriculare comune a tutta la scuola sulla base delle informazioni dei singoli docenti, da adottarsi negli anni successivi</w:t>
            </w:r>
          </w:p>
        </w:tc>
      </w:tr>
    </w:tbl>
    <w:p w:rsidR="00000000" w:rsidDel="00000000" w:rsidP="00000000" w:rsidRDefault="00000000" w:rsidRPr="00000000" w14:paraId="00000059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color w:val="2a2a2a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a2a2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a2a2a"/>
          <w:sz w:val="24"/>
          <w:szCs w:val="24"/>
          <w:rtl w:val="0"/>
        </w:rPr>
        <w:t xml:space="preserve">Tabella da consegnare alla fine dell’anno scolastico 2019-20</w:t>
      </w:r>
    </w:p>
    <w:p w:rsidR="00000000" w:rsidDel="00000000" w:rsidP="00000000" w:rsidRDefault="00000000" w:rsidRPr="00000000" w14:paraId="0000005C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76"/>
        <w:gridCol w:w="2258"/>
        <w:gridCol w:w="2258"/>
        <w:gridCol w:w="2436"/>
        <w:tblGridChange w:id="0">
          <w:tblGrid>
            <w:gridCol w:w="2676"/>
            <w:gridCol w:w="2258"/>
            <w:gridCol w:w="2258"/>
            <w:gridCol w:w="2436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Disciplina…………………………Docente…………………Classe………………..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Tema generale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Es….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a2a2a"/>
                <w:sz w:val="24"/>
                <w:szCs w:val="24"/>
                <w:rtl w:val="0"/>
              </w:rPr>
              <w:t xml:space="preserve">Agenda 2030 per lo sviluppo sostenibile, adottata dall’Assemblea generale delle Nazioni Unite il 25 settembre 2015 -3H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…………………….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ARGOMENTI TRATTATI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ARGOMENTI TRATTATI</w:t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………………………….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…………..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………………</w:t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METODO DI VALUTAZIONE ADOTTATO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METODO DI VALUTAZIONE ADOTTATO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METODO DI VALUTAZIONE ADOTTATO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METODO DI VALUTAZIONE ADOTTATO</w:t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  <w:rtl w:val="0"/>
              </w:rPr>
              <w:t xml:space="preserve">………….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…………..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……………..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  <w:rtl w:val="0"/>
              </w:rPr>
              <w:t xml:space="preserve">…………………..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b w:val="1"/>
                <w:color w:val="2a2a2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hd w:fill="ffffff" w:val="clear"/>
        <w:spacing w:after="0" w:line="240" w:lineRule="auto"/>
        <w:jc w:val="both"/>
        <w:rPr>
          <w:color w:val="2a2a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2a2a2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a2a2a"/>
          <w:sz w:val="24"/>
          <w:szCs w:val="24"/>
          <w:rtl w:val="0"/>
        </w:rPr>
        <w:t xml:space="preserve">Data ……………….                                                                                              Il Docente </w:t>
      </w:r>
    </w:p>
    <w:p w:rsidR="00000000" w:rsidDel="00000000" w:rsidP="00000000" w:rsidRDefault="00000000" w:rsidRPr="00000000" w14:paraId="0000008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2a2a2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a2a2a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…………………….</w:t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43" w:hanging="140.00000000000003"/>
      </w:pPr>
      <w:rPr>
        <w:rFonts w:ascii="Noto Sans Symbols" w:cs="Noto Sans Symbols" w:eastAsia="Noto Sans Symbols" w:hAnsi="Noto Sans Symbols"/>
        <w:color w:val="009900"/>
        <w:sz w:val="24"/>
        <w:szCs w:val="24"/>
      </w:rPr>
    </w:lvl>
    <w:lvl w:ilvl="1">
      <w:start w:val="1"/>
      <w:numFmt w:val="bullet"/>
      <w:lvlText w:val="•"/>
      <w:lvlJc w:val="left"/>
      <w:pPr>
        <w:ind w:left="588" w:hanging="140"/>
      </w:pPr>
      <w:rPr/>
    </w:lvl>
    <w:lvl w:ilvl="2">
      <w:start w:val="1"/>
      <w:numFmt w:val="bullet"/>
      <w:lvlText w:val="•"/>
      <w:lvlJc w:val="left"/>
      <w:pPr>
        <w:ind w:left="837" w:hanging="140"/>
      </w:pPr>
      <w:rPr/>
    </w:lvl>
    <w:lvl w:ilvl="3">
      <w:start w:val="1"/>
      <w:numFmt w:val="bullet"/>
      <w:lvlText w:val="•"/>
      <w:lvlJc w:val="left"/>
      <w:pPr>
        <w:ind w:left="1086" w:hanging="140"/>
      </w:pPr>
      <w:rPr/>
    </w:lvl>
    <w:lvl w:ilvl="4">
      <w:start w:val="1"/>
      <w:numFmt w:val="bullet"/>
      <w:lvlText w:val="•"/>
      <w:lvlJc w:val="left"/>
      <w:pPr>
        <w:ind w:left="1334" w:hanging="140"/>
      </w:pPr>
      <w:rPr/>
    </w:lvl>
    <w:lvl w:ilvl="5">
      <w:start w:val="1"/>
      <w:numFmt w:val="bullet"/>
      <w:lvlText w:val="•"/>
      <w:lvlJc w:val="left"/>
      <w:pPr>
        <w:ind w:left="1583" w:hanging="140"/>
      </w:pPr>
      <w:rPr/>
    </w:lvl>
    <w:lvl w:ilvl="6">
      <w:start w:val="1"/>
      <w:numFmt w:val="bullet"/>
      <w:lvlText w:val="•"/>
      <w:lvlJc w:val="left"/>
      <w:pPr>
        <w:ind w:left="1832" w:hanging="140"/>
      </w:pPr>
      <w:rPr/>
    </w:lvl>
    <w:lvl w:ilvl="7">
      <w:start w:val="1"/>
      <w:numFmt w:val="bullet"/>
      <w:lvlText w:val="•"/>
      <w:lvlJc w:val="left"/>
      <w:pPr>
        <w:ind w:left="2080" w:hanging="140"/>
      </w:pPr>
      <w:rPr/>
    </w:lvl>
    <w:lvl w:ilvl="8">
      <w:start w:val="1"/>
      <w:numFmt w:val="bullet"/>
      <w:lvlText w:val="•"/>
      <w:lvlJc w:val="left"/>
      <w:pPr>
        <w:ind w:left="2329" w:hanging="1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487" w:hanging="283.99999999999994"/>
      </w:pPr>
      <w:rPr>
        <w:rFonts w:ascii="Noto Sans Symbols" w:cs="Noto Sans Symbols" w:eastAsia="Noto Sans Symbols" w:hAnsi="Noto Sans Symbols"/>
        <w:color w:val="009900"/>
        <w:sz w:val="24"/>
        <w:szCs w:val="24"/>
      </w:rPr>
    </w:lvl>
    <w:lvl w:ilvl="1">
      <w:start w:val="1"/>
      <w:numFmt w:val="bullet"/>
      <w:lvlText w:val="•"/>
      <w:lvlJc w:val="left"/>
      <w:pPr>
        <w:ind w:left="714" w:hanging="283.99999999999994"/>
      </w:pPr>
      <w:rPr/>
    </w:lvl>
    <w:lvl w:ilvl="2">
      <w:start w:val="1"/>
      <w:numFmt w:val="bullet"/>
      <w:lvlText w:val="•"/>
      <w:lvlJc w:val="left"/>
      <w:pPr>
        <w:ind w:left="949" w:hanging="284"/>
      </w:pPr>
      <w:rPr/>
    </w:lvl>
    <w:lvl w:ilvl="3">
      <w:start w:val="1"/>
      <w:numFmt w:val="bullet"/>
      <w:lvlText w:val="•"/>
      <w:lvlJc w:val="left"/>
      <w:pPr>
        <w:ind w:left="1184" w:hanging="284"/>
      </w:pPr>
      <w:rPr/>
    </w:lvl>
    <w:lvl w:ilvl="4">
      <w:start w:val="1"/>
      <w:numFmt w:val="bullet"/>
      <w:lvlText w:val="•"/>
      <w:lvlJc w:val="left"/>
      <w:pPr>
        <w:ind w:left="1418" w:hanging="284"/>
      </w:pPr>
      <w:rPr/>
    </w:lvl>
    <w:lvl w:ilvl="5">
      <w:start w:val="1"/>
      <w:numFmt w:val="bullet"/>
      <w:lvlText w:val="•"/>
      <w:lvlJc w:val="left"/>
      <w:pPr>
        <w:ind w:left="1653" w:hanging="284"/>
      </w:pPr>
      <w:rPr/>
    </w:lvl>
    <w:lvl w:ilvl="6">
      <w:start w:val="1"/>
      <w:numFmt w:val="bullet"/>
      <w:lvlText w:val="•"/>
      <w:lvlJc w:val="left"/>
      <w:pPr>
        <w:ind w:left="1888" w:hanging="284"/>
      </w:pPr>
      <w:rPr/>
    </w:lvl>
    <w:lvl w:ilvl="7">
      <w:start w:val="1"/>
      <w:numFmt w:val="bullet"/>
      <w:lvlText w:val="•"/>
      <w:lvlJc w:val="left"/>
      <w:pPr>
        <w:ind w:left="2122" w:hanging="284.0000000000002"/>
      </w:pPr>
      <w:rPr/>
    </w:lvl>
    <w:lvl w:ilvl="8">
      <w:start w:val="1"/>
      <w:numFmt w:val="bullet"/>
      <w:lvlText w:val="•"/>
      <w:lvlJc w:val="left"/>
      <w:pPr>
        <w:ind w:left="2357" w:hanging="284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487" w:hanging="283.99999999999994"/>
      </w:pPr>
      <w:rPr>
        <w:rFonts w:ascii="Noto Sans Symbols" w:cs="Noto Sans Symbols" w:eastAsia="Noto Sans Symbols" w:hAnsi="Noto Sans Symbols"/>
        <w:color w:val="009900"/>
        <w:sz w:val="24"/>
        <w:szCs w:val="24"/>
      </w:rPr>
    </w:lvl>
    <w:lvl w:ilvl="1">
      <w:start w:val="1"/>
      <w:numFmt w:val="bullet"/>
      <w:lvlText w:val="•"/>
      <w:lvlJc w:val="left"/>
      <w:pPr>
        <w:ind w:left="714" w:hanging="283.99999999999994"/>
      </w:pPr>
      <w:rPr/>
    </w:lvl>
    <w:lvl w:ilvl="2">
      <w:start w:val="1"/>
      <w:numFmt w:val="bullet"/>
      <w:lvlText w:val="•"/>
      <w:lvlJc w:val="left"/>
      <w:pPr>
        <w:ind w:left="949" w:hanging="284"/>
      </w:pPr>
      <w:rPr/>
    </w:lvl>
    <w:lvl w:ilvl="3">
      <w:start w:val="1"/>
      <w:numFmt w:val="bullet"/>
      <w:lvlText w:val="•"/>
      <w:lvlJc w:val="left"/>
      <w:pPr>
        <w:ind w:left="1184" w:hanging="284"/>
      </w:pPr>
      <w:rPr/>
    </w:lvl>
    <w:lvl w:ilvl="4">
      <w:start w:val="1"/>
      <w:numFmt w:val="bullet"/>
      <w:lvlText w:val="•"/>
      <w:lvlJc w:val="left"/>
      <w:pPr>
        <w:ind w:left="1418" w:hanging="284"/>
      </w:pPr>
      <w:rPr/>
    </w:lvl>
    <w:lvl w:ilvl="5">
      <w:start w:val="1"/>
      <w:numFmt w:val="bullet"/>
      <w:lvlText w:val="•"/>
      <w:lvlJc w:val="left"/>
      <w:pPr>
        <w:ind w:left="1653" w:hanging="284"/>
      </w:pPr>
      <w:rPr/>
    </w:lvl>
    <w:lvl w:ilvl="6">
      <w:start w:val="1"/>
      <w:numFmt w:val="bullet"/>
      <w:lvlText w:val="•"/>
      <w:lvlJc w:val="left"/>
      <w:pPr>
        <w:ind w:left="1888" w:hanging="284"/>
      </w:pPr>
      <w:rPr/>
    </w:lvl>
    <w:lvl w:ilvl="7">
      <w:start w:val="1"/>
      <w:numFmt w:val="bullet"/>
      <w:lvlText w:val="•"/>
      <w:lvlJc w:val="left"/>
      <w:pPr>
        <w:ind w:left="2122" w:hanging="284.0000000000002"/>
      </w:pPr>
      <w:rPr/>
    </w:lvl>
    <w:lvl w:ilvl="8">
      <w:start w:val="1"/>
      <w:numFmt w:val="bullet"/>
      <w:lvlText w:val="•"/>
      <w:lvlJc w:val="left"/>
      <w:pPr>
        <w:ind w:left="2357" w:hanging="284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487" w:hanging="283.99999999999994"/>
      </w:pPr>
      <w:rPr>
        <w:rFonts w:ascii="Noto Sans Symbols" w:cs="Noto Sans Symbols" w:eastAsia="Noto Sans Symbols" w:hAnsi="Noto Sans Symbols"/>
        <w:color w:val="009900"/>
        <w:sz w:val="24"/>
        <w:szCs w:val="24"/>
      </w:rPr>
    </w:lvl>
    <w:lvl w:ilvl="1">
      <w:start w:val="1"/>
      <w:numFmt w:val="bullet"/>
      <w:lvlText w:val="•"/>
      <w:lvlJc w:val="left"/>
      <w:pPr>
        <w:ind w:left="714" w:hanging="283.99999999999994"/>
      </w:pPr>
      <w:rPr/>
    </w:lvl>
    <w:lvl w:ilvl="2">
      <w:start w:val="1"/>
      <w:numFmt w:val="bullet"/>
      <w:lvlText w:val="•"/>
      <w:lvlJc w:val="left"/>
      <w:pPr>
        <w:ind w:left="949" w:hanging="284"/>
      </w:pPr>
      <w:rPr/>
    </w:lvl>
    <w:lvl w:ilvl="3">
      <w:start w:val="1"/>
      <w:numFmt w:val="bullet"/>
      <w:lvlText w:val="•"/>
      <w:lvlJc w:val="left"/>
      <w:pPr>
        <w:ind w:left="1184" w:hanging="284"/>
      </w:pPr>
      <w:rPr/>
    </w:lvl>
    <w:lvl w:ilvl="4">
      <w:start w:val="1"/>
      <w:numFmt w:val="bullet"/>
      <w:lvlText w:val="•"/>
      <w:lvlJc w:val="left"/>
      <w:pPr>
        <w:ind w:left="1418" w:hanging="284"/>
      </w:pPr>
      <w:rPr/>
    </w:lvl>
    <w:lvl w:ilvl="5">
      <w:start w:val="1"/>
      <w:numFmt w:val="bullet"/>
      <w:lvlText w:val="•"/>
      <w:lvlJc w:val="left"/>
      <w:pPr>
        <w:ind w:left="1653" w:hanging="284"/>
      </w:pPr>
      <w:rPr/>
    </w:lvl>
    <w:lvl w:ilvl="6">
      <w:start w:val="1"/>
      <w:numFmt w:val="bullet"/>
      <w:lvlText w:val="•"/>
      <w:lvlJc w:val="left"/>
      <w:pPr>
        <w:ind w:left="1888" w:hanging="284"/>
      </w:pPr>
      <w:rPr/>
    </w:lvl>
    <w:lvl w:ilvl="7">
      <w:start w:val="1"/>
      <w:numFmt w:val="bullet"/>
      <w:lvlText w:val="•"/>
      <w:lvlJc w:val="left"/>
      <w:pPr>
        <w:ind w:left="2122" w:hanging="284.0000000000002"/>
      </w:pPr>
      <w:rPr/>
    </w:lvl>
    <w:lvl w:ilvl="8">
      <w:start w:val="1"/>
      <w:numFmt w:val="bullet"/>
      <w:lvlText w:val="•"/>
      <w:lvlJc w:val="left"/>
      <w:pPr>
        <w:ind w:left="2357" w:hanging="2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273B9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Elencochiaro-Colore4">
    <w:name w:val="Light List Accent 4"/>
    <w:basedOn w:val="Tabellanormale"/>
    <w:uiPriority w:val="61"/>
    <w:rsid w:val="001D0C70"/>
    <w:pPr>
      <w:spacing w:after="0" w:line="240" w:lineRule="auto"/>
    </w:pPr>
    <w:tblPr>
      <w:tblStyleRowBandSize w:val="1"/>
      <w:tblStyleColBandSize w:val="1"/>
      <w:tblBorders>
        <w:top w:color="ffc000" w:space="0" w:sz="8" w:themeColor="accent4" w:val="single"/>
        <w:left w:color="ffc000" w:space="0" w:sz="8" w:themeColor="accent4" w:val="single"/>
        <w:bottom w:color="ffc000" w:space="0" w:sz="8" w:themeColor="accent4" w:val="single"/>
        <w:right w:color="ffc000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fc000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c000" w:space="0" w:sz="6" w:themeColor="accent4" w:val="doub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  <w:tblStylePr w:type="band1Horz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</w:style>
  <w:style w:type="table" w:styleId="Sfondochiaro-Colore6">
    <w:name w:val="Light Shading Accent 6"/>
    <w:basedOn w:val="Tabellanormale"/>
    <w:uiPriority w:val="60"/>
    <w:rsid w:val="001D0C70"/>
    <w:pPr>
      <w:spacing w:after="0" w:line="240" w:lineRule="auto"/>
    </w:pPr>
    <w:rPr>
      <w:color w:val="538135" w:themeColor="accent6" w:themeShade="0000BF"/>
    </w:rPr>
    <w:tblPr>
      <w:tblStyleRowBandSize w:val="1"/>
      <w:tblStyleColBandSize w:val="1"/>
      <w:tblBorders>
        <w:top w:color="70ad47" w:space="0" w:sz="8" w:themeColor="accent6" w:val="single"/>
        <w:bottom w:color="70ad47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70ad47" w:space="0" w:sz="8" w:themeColor="accent6" w:val="single"/>
          <w:left w:space="0" w:sz="0" w:val="nil"/>
          <w:bottom w:color="70ad47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0ad47" w:space="0" w:sz="8" w:themeColor="accent6" w:val="single"/>
          <w:left w:space="0" w:sz="0" w:val="nil"/>
          <w:bottom w:color="70ad47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</w:style>
  <w:style w:type="table" w:styleId="Elencochiaro">
    <w:name w:val="Light List"/>
    <w:basedOn w:val="Tabellanormale"/>
    <w:uiPriority w:val="61"/>
    <w:rsid w:val="001D0C70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paragraph" w:styleId="Paragrafoelenco">
    <w:name w:val="List Paragraph"/>
    <w:basedOn w:val="Normale"/>
    <w:uiPriority w:val="34"/>
    <w:qFormat w:val="1"/>
    <w:rsid w:val="0040745F"/>
    <w:pPr>
      <w:ind w:left="720"/>
      <w:contextualSpacing w:val="1"/>
    </w:pPr>
  </w:style>
  <w:style w:type="paragraph" w:styleId="NormaleWeb">
    <w:name w:val="Normal (Web)"/>
    <w:basedOn w:val="Normale"/>
    <w:uiPriority w:val="99"/>
    <w:semiHidden w:val="1"/>
    <w:unhideWhenUsed w:val="1"/>
    <w:rsid w:val="004A37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c000" w:space="0" w:sz="8" w:val="single"/>
          <w:left w:color="ffc000" w:space="0" w:sz="8" w:val="single"/>
          <w:bottom w:color="ffc000" w:space="0" w:sz="8" w:val="single"/>
          <w:right w:color="ffc000" w:space="0" w:sz="8" w:val="single"/>
        </w:tcBorders>
      </w:tcPr>
    </w:tblStylePr>
    <w:tblStylePr w:type="band1Vert">
      <w:tcPr>
        <w:tcBorders>
          <w:top w:color="ffc000" w:space="0" w:sz="8" w:val="single"/>
          <w:left w:color="ffc000" w:space="0" w:sz="8" w:val="single"/>
          <w:bottom w:color="ffc000" w:space="0" w:sz="8" w:val="single"/>
          <w:right w:color="ffc000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ffc000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ffc000" w:space="0" w:sz="6" w:val="single"/>
          <w:left w:color="ffc000" w:space="0" w:sz="8" w:val="single"/>
          <w:bottom w:color="ffc000" w:space="0" w:sz="8" w:val="single"/>
          <w:right w:color="ffc000" w:space="0" w:sz="8" w:val="single"/>
        </w:tcBorders>
      </w:tcPr>
    </w:tblStylePr>
  </w:style>
  <w:style w:type="table" w:styleId="Table4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YHZbMEUeC1xAp4G7svn1AuVLSw==">AMUW2mULSjGP1GEp+g33aEgYDE/7dDxDsngG2b4s7hqk0zaymtRWfVc6g4nb8DJ3EStiTO6gYECsQyN1yduZ9nAVB50TcGULvGdBWTuh4rlbiRwiQnPq5Ys=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2020-09-07T06:37:00Z</dcterms:created>
  <dc:creator>Veronica Migani</dc:creator>
</cp:coreProperties>
</file>